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Merton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Merton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Merton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Merton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Merton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Merton are estimated to have a score of 1-2 on the PGSI (low-risk gambling), whilst </w:t>
      </w:r>
      <w:r w:rsidRPr="00773DF7">
        <w:rPr>
          <w:rFonts w:ascii="Libre Franklin Light" w:hAnsi="Libre Franklin Light" w:cs="Calibri Light"/>
          <w:b/>
          <w:bCs/>
          <w:color w:val="C45911" w:themeColor="accent2" w:themeShade="BF"/>
        </w:rPr>
        <w:t xml:space="preserve">4.7%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Merton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Merton is estimated to be </w:t>
      </w:r>
      <w:r w:rsidRPr="00773DF7">
        <w:rPr>
          <w:rFonts w:ascii="Libre Franklin Light" w:eastAsia="Times New Roman" w:hAnsi="Libre Franklin Light" w:cs="Calibri Light"/>
          <w:b/>
          <w:bCs/>
          <w:color w:val="C45911" w:themeColor="accent2" w:themeShade="BF"/>
        </w:rPr>
        <w:t xml:space="preserve">£9,660,507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Merton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Merton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Merton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Merton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er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Merton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er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Merton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Merton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er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Merton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Merton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Merton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Merton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Merton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Merton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£9,660,507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Merton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£157,354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£3,254,165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£233,117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£65,564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£120,201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£5,830,106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£9,660,507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Merton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Merton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Merton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Merton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Merton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Merton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Merton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Merton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Merton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Merton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Merton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Merton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929556F-921E-4825-81E1-B38EDDEB1BC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